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Справка</w:t>
      </w:r>
    </w:p>
    <w:p w:rsidR="00000000" w:rsidDel="00000000" w:rsidP="00000000" w:rsidRDefault="00000000" w:rsidRPr="00000000" w14:paraId="00000002">
      <w:pPr>
        <w:jc w:val="center"/>
        <w:rPr/>
      </w:pPr>
      <w:r w:rsidDel="00000000" w:rsidR="00000000" w:rsidRPr="00000000">
        <w:rPr>
          <w:rtl w:val="0"/>
        </w:rPr>
        <w:t xml:space="preserve">о соискателе ученого звания </w:t>
      </w:r>
      <w:r w:rsidDel="00000000" w:rsidR="00000000" w:rsidRPr="00000000">
        <w:rPr>
          <w:u w:val="single"/>
          <w:rtl w:val="0"/>
        </w:rPr>
        <w:t xml:space="preserve">ассоциированного профессора (доцента)</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по научному направлению ученого звания ассоциированного профессора (доцента) по научному направлению Общая медицина - 30100 (по специальности 14.00.00- Медицина)</w:t>
      </w:r>
      <w:r w:rsidDel="00000000" w:rsidR="00000000" w:rsidRPr="00000000">
        <w:rPr>
          <w:rtl w:val="0"/>
        </w:rPr>
      </w:r>
    </w:p>
    <w:tbl>
      <w:tblPr>
        <w:tblStyle w:val="Table1"/>
        <w:tblW w:w="1002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
        <w:gridCol w:w="4546"/>
        <w:gridCol w:w="5067"/>
        <w:tblGridChange w:id="0">
          <w:tblGrid>
            <w:gridCol w:w="416"/>
            <w:gridCol w:w="4546"/>
            <w:gridCol w:w="5067"/>
          </w:tblGrid>
        </w:tblGridChange>
      </w:tblGrid>
      <w:tr>
        <w:trPr>
          <w:cantSplit w:val="0"/>
          <w:tblHeader w:val="0"/>
        </w:trPr>
        <w:tc>
          <w:tcPr>
            <w:shd w:fill="auto" w:val="clear"/>
          </w:tcPr>
          <w:p w:rsidR="00000000" w:rsidDel="00000000" w:rsidP="00000000" w:rsidRDefault="00000000" w:rsidRPr="00000000" w14:paraId="00000004">
            <w:pPr>
              <w:rPr>
                <w:sz w:val="20"/>
                <w:szCs w:val="20"/>
              </w:rPr>
            </w:pPr>
            <w:r w:rsidDel="00000000" w:rsidR="00000000" w:rsidRPr="00000000">
              <w:rPr>
                <w:sz w:val="20"/>
                <w:szCs w:val="20"/>
                <w:rtl w:val="0"/>
              </w:rPr>
              <w:t xml:space="preserve">1</w:t>
            </w:r>
          </w:p>
        </w:tc>
        <w:tc>
          <w:tcPr>
            <w:shd w:fill="auto" w:val="clear"/>
          </w:tcPr>
          <w:p w:rsidR="00000000" w:rsidDel="00000000" w:rsidP="00000000" w:rsidRDefault="00000000" w:rsidRPr="00000000" w14:paraId="00000005">
            <w:pPr>
              <w:rPr>
                <w:sz w:val="20"/>
                <w:szCs w:val="20"/>
              </w:rPr>
            </w:pPr>
            <w:r w:rsidDel="00000000" w:rsidR="00000000" w:rsidRPr="00000000">
              <w:rPr>
                <w:sz w:val="20"/>
                <w:szCs w:val="20"/>
                <w:rtl w:val="0"/>
              </w:rPr>
              <w:t xml:space="preserve">Фамилия, имя, отчество (при его наличии)</w:t>
            </w:r>
          </w:p>
        </w:tc>
        <w:tc>
          <w:tcPr>
            <w:shd w:fill="auto" w:val="clear"/>
          </w:tcPr>
          <w:p w:rsidR="00000000" w:rsidDel="00000000" w:rsidP="00000000" w:rsidRDefault="00000000" w:rsidRPr="00000000" w14:paraId="00000006">
            <w:pPr>
              <w:jc w:val="both"/>
              <w:rPr>
                <w:sz w:val="20"/>
                <w:szCs w:val="20"/>
              </w:rPr>
            </w:pPr>
            <w:r w:rsidDel="00000000" w:rsidR="00000000" w:rsidRPr="00000000">
              <w:rPr>
                <w:sz w:val="20"/>
                <w:szCs w:val="20"/>
                <w:rtl w:val="0"/>
              </w:rPr>
              <w:t xml:space="preserve">Ахаева Тамила Абдикаликовна</w:t>
            </w:r>
          </w:p>
        </w:tc>
      </w:tr>
      <w:tr>
        <w:trPr>
          <w:cantSplit w:val="0"/>
          <w:tblHeader w:val="0"/>
        </w:trPr>
        <w:tc>
          <w:tcPr>
            <w:shd w:fill="auto" w:val="clear"/>
          </w:tcPr>
          <w:p w:rsidR="00000000" w:rsidDel="00000000" w:rsidP="00000000" w:rsidRDefault="00000000" w:rsidRPr="00000000" w14:paraId="00000007">
            <w:pPr>
              <w:rPr>
                <w:sz w:val="20"/>
                <w:szCs w:val="20"/>
              </w:rPr>
            </w:pPr>
            <w:r w:rsidDel="00000000" w:rsidR="00000000" w:rsidRPr="00000000">
              <w:rPr>
                <w:sz w:val="20"/>
                <w:szCs w:val="20"/>
                <w:rtl w:val="0"/>
              </w:rPr>
              <w:t xml:space="preserve">2</w:t>
            </w:r>
          </w:p>
        </w:tc>
        <w:tc>
          <w:tcPr>
            <w:shd w:fill="auto" w:val="clear"/>
          </w:tcPr>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shd w:fill="auto" w:val="clear"/>
          </w:tcPr>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Ph.D по специальности Фармакология Анкара Турция от 2010 года,</w:t>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Подтверждение Ph.D в РК Ph.D по специальности 6D110400 «Фармация» от 18.03.2018</w:t>
            </w:r>
          </w:p>
        </w:tc>
      </w:tr>
      <w:tr>
        <w:trPr>
          <w:cantSplit w:val="0"/>
          <w:tblHeader w:val="0"/>
        </w:trPr>
        <w:tc>
          <w:tcPr>
            <w:shd w:fill="auto" w:val="clear"/>
          </w:tcPr>
          <w:p w:rsidR="00000000" w:rsidDel="00000000" w:rsidP="00000000" w:rsidRDefault="00000000" w:rsidRPr="00000000" w14:paraId="0000000B">
            <w:pPr>
              <w:rPr>
                <w:sz w:val="20"/>
                <w:szCs w:val="20"/>
              </w:rPr>
            </w:pPr>
            <w:r w:rsidDel="00000000" w:rsidR="00000000" w:rsidRPr="00000000">
              <w:rPr>
                <w:sz w:val="20"/>
                <w:szCs w:val="20"/>
                <w:rtl w:val="0"/>
              </w:rPr>
              <w:t xml:space="preserve">3</w:t>
            </w:r>
          </w:p>
        </w:tc>
        <w:tc>
          <w:tcPr>
            <w:shd w:fill="auto" w:val="clear"/>
          </w:tcPr>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Ученое звание, дата присуждения</w:t>
            </w:r>
          </w:p>
        </w:tc>
        <w:tc>
          <w:tcPr>
            <w:shd w:fill="auto" w:val="clear"/>
          </w:tcPr>
          <w:p w:rsidR="00000000" w:rsidDel="00000000" w:rsidP="00000000" w:rsidRDefault="00000000" w:rsidRPr="00000000" w14:paraId="0000000D">
            <w:pPr>
              <w:jc w:val="both"/>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E">
            <w:pPr>
              <w:rPr>
                <w:sz w:val="20"/>
                <w:szCs w:val="20"/>
              </w:rPr>
            </w:pPr>
            <w:r w:rsidDel="00000000" w:rsidR="00000000" w:rsidRPr="00000000">
              <w:rPr>
                <w:sz w:val="20"/>
                <w:szCs w:val="20"/>
                <w:rtl w:val="0"/>
              </w:rPr>
              <w:t xml:space="preserve">4</w:t>
            </w:r>
          </w:p>
        </w:tc>
        <w:tc>
          <w:tcPr>
            <w:shd w:fill="auto" w:val="clear"/>
          </w:tcPr>
          <w:p w:rsidR="00000000" w:rsidDel="00000000" w:rsidP="00000000" w:rsidRDefault="00000000" w:rsidRPr="00000000" w14:paraId="0000000F">
            <w:pPr>
              <w:jc w:val="both"/>
              <w:rPr>
                <w:sz w:val="20"/>
                <w:szCs w:val="20"/>
              </w:rPr>
            </w:pPr>
            <w:r w:rsidDel="00000000" w:rsidR="00000000" w:rsidRPr="00000000">
              <w:rPr>
                <w:sz w:val="20"/>
                <w:szCs w:val="20"/>
                <w:rtl w:val="0"/>
              </w:rPr>
              <w:t xml:space="preserve">Почетное звание, дата присуждения</w:t>
            </w:r>
          </w:p>
        </w:tc>
        <w:tc>
          <w:tcPr>
            <w:shd w:fill="auto" w:val="clear"/>
          </w:tcPr>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w:t>
            </w:r>
          </w:p>
        </w:tc>
      </w:tr>
      <w:tr>
        <w:trPr>
          <w:cantSplit w:val="0"/>
          <w:tblHeader w:val="0"/>
        </w:trPr>
        <w:tc>
          <w:tcPr>
            <w:shd w:fill="auto" w:val="clear"/>
          </w:tcPr>
          <w:p w:rsidR="00000000" w:rsidDel="00000000" w:rsidP="00000000" w:rsidRDefault="00000000" w:rsidRPr="00000000" w14:paraId="00000011">
            <w:pPr>
              <w:rPr>
                <w:sz w:val="20"/>
                <w:szCs w:val="20"/>
              </w:rPr>
            </w:pPr>
            <w:r w:rsidDel="00000000" w:rsidR="00000000" w:rsidRPr="00000000">
              <w:rPr>
                <w:sz w:val="20"/>
                <w:szCs w:val="20"/>
                <w:rtl w:val="0"/>
              </w:rPr>
              <w:t xml:space="preserve">5</w:t>
            </w:r>
          </w:p>
        </w:tc>
        <w:tc>
          <w:tcPr>
            <w:shd w:fill="auto" w:val="clear"/>
          </w:tcPr>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Должность (дата и номер приказа о назначении на должность)</w:t>
            </w:r>
          </w:p>
        </w:tc>
        <w:tc>
          <w:tcPr>
            <w:shd w:fill="auto" w:val="clear"/>
          </w:tcPr>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и.о.ассоциированного профессора (доцента) кафедры «Фундаментальной медицины» Высшей школы медицины Факультета медицины и здравоохранения КазНУ имени аль-Фараби </w:t>
            </w:r>
          </w:p>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Приказ 93-3332 от 8.10.2020</w:t>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и.о.ассоциированного профессора (доцента) кафедры общей и клинической фармакологии Медицинского университета Астана </w:t>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Приказ 944 ж/қ от 9.03.2018</w:t>
            </w:r>
          </w:p>
        </w:tc>
      </w:tr>
      <w:tr>
        <w:trPr>
          <w:cantSplit w:val="0"/>
          <w:tblHeader w:val="0"/>
        </w:trPr>
        <w:tc>
          <w:tcPr>
            <w:shd w:fill="auto" w:val="clear"/>
          </w:tcPr>
          <w:p w:rsidR="00000000" w:rsidDel="00000000" w:rsidP="00000000" w:rsidRDefault="00000000" w:rsidRPr="00000000" w14:paraId="00000017">
            <w:pPr>
              <w:rPr>
                <w:sz w:val="20"/>
                <w:szCs w:val="20"/>
              </w:rPr>
            </w:pPr>
            <w:r w:rsidDel="00000000" w:rsidR="00000000" w:rsidRPr="00000000">
              <w:rPr>
                <w:sz w:val="20"/>
                <w:szCs w:val="20"/>
                <w:rtl w:val="0"/>
              </w:rPr>
              <w:t xml:space="preserve">6</w:t>
            </w:r>
          </w:p>
        </w:tc>
        <w:tc>
          <w:tcPr>
            <w:shd w:fill="auto" w:val="clear"/>
          </w:tcPr>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Стаж научной, научно-педагогической деятельности </w:t>
            </w:r>
          </w:p>
        </w:tc>
        <w:tc>
          <w:tcPr>
            <w:shd w:fill="auto" w:val="clear"/>
          </w:tcPr>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Всего 19 лет, в том числе в должности 6  лет</w:t>
            </w:r>
          </w:p>
          <w:p w:rsidR="00000000" w:rsidDel="00000000" w:rsidP="00000000" w:rsidRDefault="00000000" w:rsidRPr="00000000" w14:paraId="0000001A">
            <w:pPr>
              <w:jc w:val="both"/>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B">
            <w:pPr>
              <w:rPr>
                <w:sz w:val="20"/>
                <w:szCs w:val="20"/>
              </w:rPr>
            </w:pPr>
            <w:r w:rsidDel="00000000" w:rsidR="00000000" w:rsidRPr="00000000">
              <w:rPr>
                <w:sz w:val="20"/>
                <w:szCs w:val="20"/>
                <w:rtl w:val="0"/>
              </w:rPr>
              <w:t xml:space="preserve">7</w:t>
            </w:r>
          </w:p>
        </w:tc>
        <w:tc>
          <w:tcPr>
            <w:shd w:fill="auto" w:val="clear"/>
          </w:tcPr>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Количество научных статей после защиты диссертации/получения ученого звания ассоциированного профессора (доцента) </w:t>
            </w:r>
          </w:p>
        </w:tc>
        <w:tc>
          <w:tcPr>
            <w:shd w:fill="auto" w:val="clear"/>
          </w:tcPr>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Всего 14,</w:t>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в изданиях, рекомендуемых уполномоченным органом 12 (2 из них публикаций входящих в базу данных Скопус),</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в научных журналах, входящих в базы компании Clarivate Analytics (Кларивэйт Аналитикс) (Web of Science Core Collection, Clarivate Analytics (Вэб оф Сайнс Кор Коллекшн, Кларивэйт Аналитикс)), Scopus (Скопус) или JSTOR (ДЖЕЙСТОР) 2,</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творческих трудов нет</w:t>
            </w:r>
          </w:p>
        </w:tc>
      </w:tr>
      <w:tr>
        <w:trPr>
          <w:cantSplit w:val="0"/>
          <w:tblHeader w:val="0"/>
        </w:trPr>
        <w:tc>
          <w:tcPr>
            <w:shd w:fill="auto" w:val="clear"/>
          </w:tcPr>
          <w:p w:rsidR="00000000" w:rsidDel="00000000" w:rsidP="00000000" w:rsidRDefault="00000000" w:rsidRPr="00000000" w14:paraId="00000021">
            <w:pPr>
              <w:rPr>
                <w:sz w:val="20"/>
                <w:szCs w:val="20"/>
              </w:rPr>
            </w:pPr>
            <w:r w:rsidDel="00000000" w:rsidR="00000000" w:rsidRPr="00000000">
              <w:rPr>
                <w:sz w:val="20"/>
                <w:szCs w:val="20"/>
                <w:rtl w:val="0"/>
              </w:rPr>
              <w:t xml:space="preserve">8</w:t>
            </w:r>
          </w:p>
        </w:tc>
        <w:tc>
          <w:tcPr>
            <w:shd w:fill="auto" w:val="clear"/>
          </w:tcPr>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Количество, изданных за последние 5 лет монографий, учебников, единолично написанных учебных (учебно-методическое) пособий </w:t>
            </w:r>
          </w:p>
        </w:tc>
        <w:tc>
          <w:tcPr>
            <w:shd w:fill="auto" w:val="clear"/>
          </w:tcPr>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1</w:t>
            </w:r>
          </w:p>
        </w:tc>
      </w:tr>
      <w:tr>
        <w:trPr>
          <w:cantSplit w:val="0"/>
          <w:tblHeader w:val="0"/>
        </w:trPr>
        <w:tc>
          <w:tcPr>
            <w:shd w:fill="auto" w:val="clear"/>
          </w:tcPr>
          <w:p w:rsidR="00000000" w:rsidDel="00000000" w:rsidP="00000000" w:rsidRDefault="00000000" w:rsidRPr="00000000" w14:paraId="00000024">
            <w:pPr>
              <w:rPr>
                <w:sz w:val="20"/>
                <w:szCs w:val="20"/>
              </w:rPr>
            </w:pPr>
            <w:r w:rsidDel="00000000" w:rsidR="00000000" w:rsidRPr="00000000">
              <w:rPr>
                <w:sz w:val="20"/>
                <w:szCs w:val="20"/>
                <w:rtl w:val="0"/>
              </w:rPr>
              <w:t xml:space="preserve">9</w:t>
            </w:r>
          </w:p>
        </w:tc>
        <w:tc>
          <w:tcPr>
            <w:shd w:fill="auto" w:val="clear"/>
          </w:tcPr>
          <w:p w:rsidR="00000000" w:rsidDel="00000000" w:rsidP="00000000" w:rsidRDefault="00000000" w:rsidRPr="00000000" w14:paraId="00000025">
            <w:pPr>
              <w:tabs>
                <w:tab w:val="left" w:leader="none" w:pos="480"/>
              </w:tabs>
              <w:jc w:val="both"/>
              <w:rPr>
                <w:sz w:val="20"/>
                <w:szCs w:val="20"/>
              </w:rPr>
            </w:pPr>
            <w:r w:rsidDel="00000000" w:rsidR="00000000" w:rsidRPr="00000000">
              <w:rPr>
                <w:sz w:val="20"/>
                <w:szCs w:val="20"/>
                <w:rtl w:val="0"/>
              </w:rPr>
              <w:t xml:space="preserve">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shd w:fill="auto" w:val="clear"/>
          </w:tcPr>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нет</w:t>
            </w:r>
          </w:p>
        </w:tc>
      </w:tr>
      <w:tr>
        <w:trPr>
          <w:cantSplit w:val="0"/>
          <w:tblHeader w:val="0"/>
        </w:trPr>
        <w:tc>
          <w:tcPr>
            <w:shd w:fill="auto" w:val="clear"/>
          </w:tcPr>
          <w:p w:rsidR="00000000" w:rsidDel="00000000" w:rsidP="00000000" w:rsidRDefault="00000000" w:rsidRPr="00000000" w14:paraId="00000027">
            <w:pPr>
              <w:rPr>
                <w:sz w:val="20"/>
                <w:szCs w:val="20"/>
              </w:rPr>
            </w:pPr>
            <w:r w:rsidDel="00000000" w:rsidR="00000000" w:rsidRPr="00000000">
              <w:rPr>
                <w:sz w:val="20"/>
                <w:szCs w:val="20"/>
                <w:rtl w:val="0"/>
              </w:rPr>
              <w:t xml:space="preserve">10</w:t>
            </w:r>
          </w:p>
        </w:tc>
        <w:tc>
          <w:tcPr>
            <w:shd w:fill="auto" w:val="clear"/>
          </w:tcPr>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shd w:fill="auto" w:val="clear"/>
          </w:tcPr>
          <w:p w:rsidR="00000000" w:rsidDel="00000000" w:rsidP="00000000" w:rsidRDefault="00000000" w:rsidRPr="00000000" w14:paraId="00000029">
            <w:pPr>
              <w:jc w:val="both"/>
              <w:rPr>
                <w:sz w:val="20"/>
                <w:szCs w:val="20"/>
                <w:highlight w:val="red"/>
              </w:rPr>
            </w:pPr>
            <w:r w:rsidDel="00000000" w:rsidR="00000000" w:rsidRPr="00000000">
              <w:rPr>
                <w:sz w:val="20"/>
                <w:szCs w:val="20"/>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A">
            <w:pPr>
              <w:rPr>
                <w:sz w:val="20"/>
                <w:szCs w:val="20"/>
              </w:rPr>
            </w:pPr>
            <w:r w:rsidDel="00000000" w:rsidR="00000000" w:rsidRPr="00000000">
              <w:rPr>
                <w:sz w:val="20"/>
                <w:szCs w:val="20"/>
                <w:rtl w:val="0"/>
              </w:rPr>
              <w:t xml:space="preserve">11</w:t>
            </w:r>
          </w:p>
        </w:tc>
        <w:tc>
          <w:tcPr>
            <w:shd w:fill="auto" w:val="clear"/>
          </w:tcPr>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shd w:fill="auto" w:val="clear"/>
          </w:tcPr>
          <w:p w:rsidR="00000000" w:rsidDel="00000000" w:rsidP="00000000" w:rsidRDefault="00000000" w:rsidRPr="00000000" w14:paraId="0000002C">
            <w:pPr>
              <w:jc w:val="both"/>
              <w:rPr>
                <w:sz w:val="20"/>
                <w:szCs w:val="20"/>
              </w:rPr>
            </w:pPr>
            <w:r w:rsidDel="00000000" w:rsidR="00000000" w:rsidRPr="00000000">
              <w:rPr>
                <w:sz w:val="20"/>
                <w:szCs w:val="20"/>
                <w:rtl w:val="0"/>
              </w:rPr>
              <w:t xml:space="preserve">нет</w:t>
            </w:r>
          </w:p>
        </w:tc>
      </w:tr>
      <w:tr>
        <w:trPr>
          <w:cantSplit w:val="0"/>
          <w:tblHeader w:val="0"/>
        </w:trPr>
        <w:tc>
          <w:tcPr>
            <w:vMerge w:val="restart"/>
            <w:shd w:fill="auto" w:val="clear"/>
          </w:tcPr>
          <w:p w:rsidR="00000000" w:rsidDel="00000000" w:rsidP="00000000" w:rsidRDefault="00000000" w:rsidRPr="00000000" w14:paraId="0000002D">
            <w:pPr>
              <w:rPr>
                <w:sz w:val="20"/>
                <w:szCs w:val="20"/>
              </w:rPr>
            </w:pPr>
            <w:r w:rsidDel="00000000" w:rsidR="00000000" w:rsidRPr="00000000">
              <w:rPr>
                <w:sz w:val="20"/>
                <w:szCs w:val="20"/>
                <w:rtl w:val="0"/>
              </w:rPr>
              <w:t xml:space="preserve">12</w:t>
            </w:r>
          </w:p>
        </w:tc>
        <w:tc>
          <w:tcPr>
            <w:vMerge w:val="restart"/>
            <w:shd w:fill="auto" w:val="clear"/>
          </w:tcPr>
          <w:p w:rsidR="00000000" w:rsidDel="00000000" w:rsidP="00000000" w:rsidRDefault="00000000" w:rsidRPr="00000000" w14:paraId="0000002E">
            <w:pPr>
              <w:jc w:val="both"/>
              <w:rPr>
                <w:sz w:val="20"/>
                <w:szCs w:val="20"/>
              </w:rPr>
            </w:pPr>
            <w:bookmarkStart w:colFirst="0" w:colLast="0" w:name="_heading=h.gjdgxs" w:id="0"/>
            <w:bookmarkEnd w:id="0"/>
            <w:r w:rsidDel="00000000" w:rsidR="00000000" w:rsidRPr="00000000">
              <w:rPr>
                <w:sz w:val="20"/>
                <w:szCs w:val="20"/>
                <w:rtl w:val="0"/>
              </w:rPr>
              <w:t xml:space="preserve">Дополнительная информация</w:t>
            </w:r>
          </w:p>
        </w:tc>
        <w:tc>
          <w:tcPr>
            <w:shd w:fill="auto" w:val="clear"/>
          </w:tcPr>
          <w:p w:rsidR="00000000" w:rsidDel="00000000" w:rsidP="00000000" w:rsidRDefault="00000000" w:rsidRPr="00000000" w14:paraId="0000002F">
            <w:pPr>
              <w:jc w:val="both"/>
              <w:rPr>
                <w:sz w:val="20"/>
                <w:szCs w:val="20"/>
              </w:rPr>
            </w:pPr>
            <w:r w:rsidDel="00000000" w:rsidR="00000000" w:rsidRPr="00000000">
              <w:rPr>
                <w:sz w:val="20"/>
                <w:szCs w:val="20"/>
                <w:rtl w:val="0"/>
              </w:rPr>
              <w:t xml:space="preserve">Обладатель TUBITAK BIDEB гранта для молодых ученных 2006-2009</w:t>
            </w:r>
          </w:p>
        </w:tc>
      </w:tr>
      <w:tr>
        <w:trPr>
          <w:cantSplit w:val="0"/>
          <w:tblHeader w:val="0"/>
        </w:trPr>
        <w:tc>
          <w:tcPr>
            <w:vMerge w:val="continue"/>
            <w:shd w:fill="auto"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32">
            <w:pPr>
              <w:jc w:val="both"/>
              <w:rPr>
                <w:sz w:val="20"/>
                <w:szCs w:val="20"/>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35">
            <w:pPr>
              <w:jc w:val="both"/>
              <w:rPr>
                <w:sz w:val="20"/>
                <w:szCs w:val="20"/>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38">
            <w:pPr>
              <w:jc w:val="both"/>
              <w:rPr>
                <w:sz w:val="20"/>
                <w:szCs w:val="20"/>
              </w:rPr>
            </w:pPr>
            <w:r w:rsidDel="00000000" w:rsidR="00000000" w:rsidRPr="00000000">
              <w:rPr>
                <w:rtl w:val="0"/>
              </w:rPr>
            </w:r>
          </w:p>
        </w:tc>
      </w:tr>
    </w:tbl>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sz w:val="20"/>
          <w:szCs w:val="20"/>
        </w:rPr>
      </w:pPr>
      <w:r w:rsidDel="00000000" w:rsidR="00000000" w:rsidRPr="00000000">
        <w:rPr>
          <w:sz w:val="20"/>
          <w:szCs w:val="20"/>
          <w:rtl w:val="0"/>
        </w:rPr>
        <w:t xml:space="preserve">Зав. кафедры «Фундаментальной медицины» </w:t>
      </w:r>
    </w:p>
    <w:p w:rsidR="00000000" w:rsidDel="00000000" w:rsidP="00000000" w:rsidRDefault="00000000" w:rsidRPr="00000000" w14:paraId="0000003B">
      <w:pPr>
        <w:jc w:val="both"/>
        <w:rPr>
          <w:sz w:val="20"/>
          <w:szCs w:val="20"/>
        </w:rPr>
      </w:pPr>
      <w:r w:rsidDel="00000000" w:rsidR="00000000" w:rsidRPr="00000000">
        <w:rPr>
          <w:sz w:val="20"/>
          <w:szCs w:val="20"/>
          <w:rtl w:val="0"/>
        </w:rPr>
        <w:t xml:space="preserve">Факультета медицины и здравоохранения </w:t>
      </w:r>
    </w:p>
    <w:p w:rsidR="00000000" w:rsidDel="00000000" w:rsidP="00000000" w:rsidRDefault="00000000" w:rsidRPr="00000000" w14:paraId="0000003C">
      <w:pPr>
        <w:jc w:val="both"/>
        <w:rPr>
          <w:i w:val="1"/>
        </w:rPr>
      </w:pPr>
      <w:r w:rsidDel="00000000" w:rsidR="00000000" w:rsidRPr="00000000">
        <w:rPr>
          <w:sz w:val="20"/>
          <w:szCs w:val="20"/>
          <w:rtl w:val="0"/>
        </w:rPr>
        <w:t xml:space="preserve">КазНУ им. аль-Фараби </w:t>
        <w:tab/>
        <w:t xml:space="preserve">                                                               _____________</w:t>
        <w:tab/>
        <w:t xml:space="preserve">    Л.К. Сарсенова</w:t>
      </w:r>
      <w:r w:rsidDel="00000000" w:rsidR="00000000" w:rsidRPr="00000000">
        <w:rPr>
          <w:rtl w:val="0"/>
        </w:rPr>
      </w:r>
    </w:p>
    <w:sectPr>
      <w:pgSz w:h="16838" w:w="11906" w:orient="portrait"/>
      <w:pgMar w:bottom="539" w:top="567" w:left="567"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9C238B"/>
    <w:pPr>
      <w:suppressAutoHyphens w:val="1"/>
    </w:pPr>
    <w:rPr>
      <w:lang w:eastAsia="ar-SA"/>
    </w:rPr>
  </w:style>
  <w:style w:type="paragraph" w:styleId="1">
    <w:name w:val="heading 1"/>
    <w:basedOn w:val="a"/>
    <w:next w:val="a"/>
    <w:link w:val="10"/>
    <w:uiPriority w:val="9"/>
    <w:qFormat w:val="1"/>
    <w:rsid w:val="009C238B"/>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2">
    <w:name w:val="heading 2"/>
    <w:basedOn w:val="a"/>
    <w:next w:val="a"/>
    <w:link w:val="20"/>
    <w:uiPriority w:val="9"/>
    <w:semiHidden w:val="1"/>
    <w:unhideWhenUsed w:val="1"/>
    <w:qFormat w:val="1"/>
    <w:rsid w:val="000A39D4"/>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link w:val="50"/>
    <w:uiPriority w:val="9"/>
    <w:semiHidden w:val="1"/>
    <w:unhideWhenUsed w:val="1"/>
    <w:qFormat w:val="1"/>
    <w:rsid w:val="000A39D4"/>
    <w:pPr>
      <w:keepNext w:val="1"/>
      <w:keepLines w:val="1"/>
      <w:spacing w:before="40"/>
      <w:outlineLvl w:val="4"/>
    </w:pPr>
    <w:rPr>
      <w:rFonts w:asciiTheme="majorHAnsi" w:cstheme="majorBidi" w:eastAsiaTheme="majorEastAsia" w:hAnsiTheme="majorHAnsi"/>
      <w:color w:val="365f91" w:themeColor="accent1" w:themeShade="0000BF"/>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paragraph" w:styleId="7">
    <w:name w:val="heading 7"/>
    <w:basedOn w:val="a"/>
    <w:next w:val="a"/>
    <w:link w:val="70"/>
    <w:unhideWhenUsed w:val="1"/>
    <w:qFormat w:val="1"/>
    <w:rsid w:val="009C238B"/>
    <w:pPr>
      <w:spacing w:after="60" w:before="240"/>
      <w:outlineLvl w:val="6"/>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70" w:customStyle="1">
    <w:name w:val="Заголовок 7 Знак"/>
    <w:basedOn w:val="a0"/>
    <w:link w:val="7"/>
    <w:rsid w:val="009C238B"/>
    <w:rPr>
      <w:rFonts w:ascii="Times New Roman" w:cs="Times New Roman" w:eastAsia="Times New Roman" w:hAnsi="Times New Roman"/>
      <w:sz w:val="24"/>
      <w:szCs w:val="24"/>
      <w:lang w:eastAsia="ar-SA"/>
    </w:rPr>
  </w:style>
  <w:style w:type="paragraph" w:styleId="51" w:customStyle="1">
    <w:name w:val="заголовок 5"/>
    <w:basedOn w:val="a"/>
    <w:next w:val="a"/>
    <w:rsid w:val="009C238B"/>
    <w:pPr>
      <w:keepNext w:val="1"/>
      <w:suppressAutoHyphens w:val="0"/>
      <w:autoSpaceDE w:val="0"/>
      <w:autoSpaceDN w:val="0"/>
      <w:jc w:val="both"/>
      <w:outlineLvl w:val="4"/>
    </w:pPr>
    <w:rPr>
      <w:sz w:val="28"/>
      <w:szCs w:val="28"/>
      <w:lang w:eastAsia="ru-RU" w:val="en-US"/>
    </w:rPr>
  </w:style>
  <w:style w:type="paragraph" w:styleId="a4">
    <w:name w:val="List Paragraph"/>
    <w:basedOn w:val="a"/>
    <w:uiPriority w:val="34"/>
    <w:qFormat w:val="1"/>
    <w:rsid w:val="009C238B"/>
    <w:pPr>
      <w:ind w:left="720"/>
      <w:contextualSpacing w:val="1"/>
    </w:pPr>
  </w:style>
  <w:style w:type="character" w:styleId="10" w:customStyle="1">
    <w:name w:val="Заголовок 1 Знак"/>
    <w:basedOn w:val="a0"/>
    <w:link w:val="1"/>
    <w:uiPriority w:val="9"/>
    <w:rsid w:val="009C238B"/>
    <w:rPr>
      <w:rFonts w:asciiTheme="majorHAnsi" w:cstheme="majorBidi" w:eastAsiaTheme="majorEastAsia" w:hAnsiTheme="majorHAnsi"/>
      <w:b w:val="1"/>
      <w:bCs w:val="1"/>
      <w:color w:val="365f91" w:themeColor="accent1" w:themeShade="0000BF"/>
      <w:sz w:val="28"/>
      <w:szCs w:val="28"/>
      <w:lang w:eastAsia="ar-SA"/>
    </w:rPr>
  </w:style>
  <w:style w:type="character" w:styleId="s0" w:customStyle="1">
    <w:name w:val="s0"/>
    <w:basedOn w:val="a0"/>
    <w:rsid w:val="00616CAC"/>
  </w:style>
  <w:style w:type="character" w:styleId="20" w:customStyle="1">
    <w:name w:val="Заголовок 2 Знак"/>
    <w:basedOn w:val="a0"/>
    <w:link w:val="2"/>
    <w:uiPriority w:val="9"/>
    <w:semiHidden w:val="1"/>
    <w:rsid w:val="000A39D4"/>
    <w:rPr>
      <w:rFonts w:asciiTheme="majorHAnsi" w:cstheme="majorBidi" w:eastAsiaTheme="majorEastAsia" w:hAnsiTheme="majorHAnsi"/>
      <w:color w:val="365f91" w:themeColor="accent1" w:themeShade="0000BF"/>
      <w:sz w:val="26"/>
      <w:szCs w:val="26"/>
      <w:lang w:eastAsia="ar-SA"/>
    </w:rPr>
  </w:style>
  <w:style w:type="character" w:styleId="50" w:customStyle="1">
    <w:name w:val="Заголовок 5 Знак"/>
    <w:basedOn w:val="a0"/>
    <w:link w:val="5"/>
    <w:uiPriority w:val="9"/>
    <w:semiHidden w:val="1"/>
    <w:rsid w:val="000A39D4"/>
    <w:rPr>
      <w:rFonts w:asciiTheme="majorHAnsi" w:cstheme="majorBidi" w:eastAsiaTheme="majorEastAsia" w:hAnsiTheme="majorHAnsi"/>
      <w:color w:val="365f91" w:themeColor="accent1" w:themeShade="0000BF"/>
      <w:sz w:val="24"/>
      <w:szCs w:val="24"/>
      <w:lang w:eastAsia="ar-SA"/>
    </w:rPr>
  </w:style>
  <w:style w:type="character" w:styleId="a5">
    <w:name w:val="Hyperlink"/>
    <w:basedOn w:val="a0"/>
    <w:uiPriority w:val="99"/>
    <w:unhideWhenUsed w:val="1"/>
    <w:rsid w:val="000A39D4"/>
    <w:rPr>
      <w:color w:val="0000ff" w:themeColor="hyperlink"/>
      <w:u w:val="single"/>
    </w:rPr>
  </w:style>
  <w:style w:type="character" w:styleId="a6">
    <w:name w:val="annotation reference"/>
    <w:basedOn w:val="a0"/>
    <w:uiPriority w:val="99"/>
    <w:semiHidden w:val="1"/>
    <w:unhideWhenUsed w:val="1"/>
    <w:rsid w:val="00BF5EE9"/>
    <w:rPr>
      <w:sz w:val="16"/>
      <w:szCs w:val="16"/>
    </w:rPr>
  </w:style>
  <w:style w:type="paragraph" w:styleId="a7">
    <w:name w:val="annotation text"/>
    <w:basedOn w:val="a"/>
    <w:link w:val="a8"/>
    <w:uiPriority w:val="99"/>
    <w:semiHidden w:val="1"/>
    <w:unhideWhenUsed w:val="1"/>
    <w:rsid w:val="00BF5EE9"/>
    <w:rPr>
      <w:sz w:val="20"/>
      <w:szCs w:val="20"/>
    </w:rPr>
  </w:style>
  <w:style w:type="character" w:styleId="a8" w:customStyle="1">
    <w:name w:val="Текст примечания Знак"/>
    <w:basedOn w:val="a0"/>
    <w:link w:val="a7"/>
    <w:uiPriority w:val="99"/>
    <w:semiHidden w:val="1"/>
    <w:rsid w:val="00BF5EE9"/>
    <w:rPr>
      <w:rFonts w:ascii="Times New Roman" w:cs="Times New Roman" w:eastAsia="Times New Roman" w:hAnsi="Times New Roman"/>
      <w:sz w:val="20"/>
      <w:szCs w:val="20"/>
      <w:lang w:eastAsia="ar-SA"/>
    </w:rPr>
  </w:style>
  <w:style w:type="paragraph" w:styleId="a9">
    <w:name w:val="annotation subject"/>
    <w:basedOn w:val="a7"/>
    <w:next w:val="a7"/>
    <w:link w:val="aa"/>
    <w:uiPriority w:val="99"/>
    <w:semiHidden w:val="1"/>
    <w:unhideWhenUsed w:val="1"/>
    <w:rsid w:val="00BF5EE9"/>
    <w:rPr>
      <w:b w:val="1"/>
      <w:bCs w:val="1"/>
    </w:rPr>
  </w:style>
  <w:style w:type="character" w:styleId="aa" w:customStyle="1">
    <w:name w:val="Тема примечания Знак"/>
    <w:basedOn w:val="a8"/>
    <w:link w:val="a9"/>
    <w:uiPriority w:val="99"/>
    <w:semiHidden w:val="1"/>
    <w:rsid w:val="00BF5EE9"/>
    <w:rPr>
      <w:rFonts w:ascii="Times New Roman" w:cs="Times New Roman" w:eastAsia="Times New Roman" w:hAnsi="Times New Roman"/>
      <w:b w:val="1"/>
      <w:bCs w:val="1"/>
      <w:sz w:val="20"/>
      <w:szCs w:val="20"/>
      <w:lang w:eastAsia="ar-SA"/>
    </w:rPr>
  </w:style>
  <w:style w:type="paragraph" w:styleId="ab">
    <w:name w:val="Balloon Text"/>
    <w:basedOn w:val="a"/>
    <w:link w:val="ac"/>
    <w:uiPriority w:val="99"/>
    <w:semiHidden w:val="1"/>
    <w:unhideWhenUsed w:val="1"/>
    <w:rsid w:val="00BF5EE9"/>
    <w:rPr>
      <w:rFonts w:ascii="Segoe UI" w:cs="Segoe UI" w:hAnsi="Segoe UI"/>
      <w:sz w:val="18"/>
      <w:szCs w:val="18"/>
    </w:rPr>
  </w:style>
  <w:style w:type="character" w:styleId="ac" w:customStyle="1">
    <w:name w:val="Текст выноски Знак"/>
    <w:basedOn w:val="a0"/>
    <w:link w:val="ab"/>
    <w:uiPriority w:val="99"/>
    <w:semiHidden w:val="1"/>
    <w:rsid w:val="00BF5EE9"/>
    <w:rPr>
      <w:rFonts w:ascii="Segoe UI" w:cs="Segoe UI" w:eastAsia="Times New Roman" w:hAnsi="Segoe UI"/>
      <w:sz w:val="18"/>
      <w:szCs w:val="18"/>
      <w:lang w:eastAsia="ar-SA"/>
    </w:rPr>
  </w:style>
  <w:style w:type="paragraph" w:styleId="ad">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e"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HVjGJCxqSjGcZrI++D6CUym0mg==">CgMxLjAyCGguZ2pkZ3hzOAByITE4Ry1fbVB4cmt5NVh6SE5ZbHBVcEw5eVVYZFZ0STRwYw==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2024-05-02T20:28:00Z</dcterms:created>
  <dc:creator>Нәбиева Гүлназ</dc:creator>
</cp:coreProperties>
</file>